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A7E" w:rsidRPr="00734A84" w:rsidRDefault="002F3A7E" w:rsidP="002F3A7E">
      <w:pPr>
        <w:pStyle w:val="Heading1"/>
        <w:rPr>
          <w:rFonts w:ascii="Times New Roman" w:hAnsi="Times New Roman"/>
          <w:sz w:val="22"/>
        </w:rPr>
      </w:pPr>
      <w:bookmarkStart w:id="0" w:name="_Toc134157274"/>
      <w:r w:rsidRPr="00734A84">
        <w:rPr>
          <w:rFonts w:ascii="Times New Roman" w:hAnsi="Times New Roman"/>
          <w:sz w:val="22"/>
        </w:rPr>
        <w:t>Hogg and Bushell “The Charter Dialogue Between Courts and Legislatures”.</w:t>
      </w:r>
      <w:bookmarkEnd w:id="0"/>
      <w:r w:rsidRPr="00734A84">
        <w:rPr>
          <w:rFonts w:ascii="Times New Roman" w:hAnsi="Times New Roman"/>
          <w:sz w:val="22"/>
        </w:rPr>
        <w:t xml:space="preserve"> </w:t>
      </w:r>
    </w:p>
    <w:p w:rsidR="002F3A7E" w:rsidRPr="00734A84" w:rsidRDefault="002F3A7E" w:rsidP="002F3A7E">
      <w:pPr>
        <w:rPr>
          <w:rFonts w:ascii="Times New Roman" w:hAnsi="Times New Roman"/>
          <w:b/>
          <w:sz w:val="22"/>
        </w:rPr>
      </w:pPr>
      <w:r w:rsidRPr="00734A84">
        <w:rPr>
          <w:rFonts w:ascii="Times New Roman" w:hAnsi="Times New Roman"/>
          <w:b/>
          <w:sz w:val="22"/>
        </w:rPr>
        <w:tab/>
      </w:r>
      <w:r w:rsidRPr="00734A84">
        <w:rPr>
          <w:rFonts w:ascii="Times New Roman" w:hAnsi="Times New Roman"/>
          <w:b/>
          <w:sz w:val="22"/>
        </w:rPr>
        <w:tab/>
      </w:r>
    </w:p>
    <w:p w:rsidR="002F3A7E" w:rsidRPr="00734A84" w:rsidRDefault="002F3A7E" w:rsidP="002F3A7E">
      <w:pPr>
        <w:ind w:left="288"/>
        <w:rPr>
          <w:rFonts w:ascii="Times New Roman" w:hAnsi="Times New Roman"/>
          <w:b/>
          <w:sz w:val="22"/>
        </w:rPr>
      </w:pPr>
      <w:r w:rsidRPr="00734A84">
        <w:rPr>
          <w:rFonts w:ascii="Times New Roman" w:hAnsi="Times New Roman"/>
          <w:b/>
          <w:sz w:val="22"/>
        </w:rPr>
        <w:t xml:space="preserve">Hogg, Peter W. and Allison Bushell. </w:t>
      </w:r>
      <w:proofErr w:type="gramStart"/>
      <w:r w:rsidRPr="00734A84">
        <w:rPr>
          <w:rFonts w:ascii="Times New Roman" w:hAnsi="Times New Roman"/>
          <w:b/>
          <w:sz w:val="22"/>
        </w:rPr>
        <w:t>“The Charter Dialogue Between Courts and Legislatures”.</w:t>
      </w:r>
      <w:proofErr w:type="gramEnd"/>
      <w:r w:rsidRPr="00734A84">
        <w:rPr>
          <w:rFonts w:ascii="Times New Roman" w:hAnsi="Times New Roman"/>
          <w:b/>
          <w:sz w:val="22"/>
        </w:rPr>
        <w:t xml:space="preserve"> </w:t>
      </w:r>
      <w:proofErr w:type="gramStart"/>
      <w:r w:rsidRPr="00734A84">
        <w:rPr>
          <w:rFonts w:ascii="Times New Roman" w:hAnsi="Times New Roman"/>
          <w:b/>
          <w:i/>
          <w:sz w:val="22"/>
        </w:rPr>
        <w:t>Osgoode Hall Law Journal</w:t>
      </w:r>
      <w:r w:rsidRPr="00734A84">
        <w:rPr>
          <w:rFonts w:ascii="Times New Roman" w:hAnsi="Times New Roman"/>
          <w:b/>
          <w:sz w:val="22"/>
        </w:rPr>
        <w:t>.</w:t>
      </w:r>
      <w:proofErr w:type="gramEnd"/>
      <w:r w:rsidRPr="00734A84">
        <w:rPr>
          <w:rFonts w:ascii="Times New Roman" w:hAnsi="Times New Roman"/>
          <w:b/>
          <w:sz w:val="22"/>
        </w:rPr>
        <w:t xml:space="preserve"> </w:t>
      </w:r>
      <w:proofErr w:type="gramStart"/>
      <w:r w:rsidRPr="00734A84">
        <w:rPr>
          <w:rFonts w:ascii="Times New Roman" w:hAnsi="Times New Roman"/>
          <w:b/>
          <w:sz w:val="22"/>
        </w:rPr>
        <w:t>35:1, 1997.</w:t>
      </w:r>
      <w:proofErr w:type="gramEnd"/>
      <w:r w:rsidRPr="00734A84">
        <w:rPr>
          <w:rFonts w:ascii="Times New Roman" w:hAnsi="Times New Roman"/>
          <w:b/>
          <w:sz w:val="22"/>
        </w:rPr>
        <w:t xml:space="preserve"> </w:t>
      </w:r>
    </w:p>
    <w:p w:rsidR="002F3A7E" w:rsidRPr="00734A84" w:rsidRDefault="002F3A7E" w:rsidP="002F3A7E">
      <w:pPr>
        <w:rPr>
          <w:rFonts w:ascii="Times New Roman" w:hAnsi="Times New Roman"/>
          <w:b/>
          <w:sz w:val="22"/>
        </w:rPr>
      </w:pPr>
      <w:r w:rsidRPr="00734A84">
        <w:rPr>
          <w:rFonts w:ascii="Times New Roman" w:hAnsi="Times New Roman"/>
          <w:b/>
          <w:sz w:val="22"/>
        </w:rPr>
        <w:tab/>
      </w:r>
    </w:p>
    <w:p w:rsidR="002F3A7E" w:rsidRPr="00734A84" w:rsidRDefault="002F3A7E" w:rsidP="002F3A7E">
      <w:pPr>
        <w:ind w:left="288"/>
        <w:rPr>
          <w:rFonts w:ascii="Times New Roman" w:hAnsi="Times New Roman"/>
          <w:b/>
          <w:sz w:val="22"/>
        </w:rPr>
      </w:pPr>
      <w:r w:rsidRPr="00734A84">
        <w:rPr>
          <w:rFonts w:ascii="Times New Roman" w:hAnsi="Times New Roman"/>
          <w:b/>
          <w:sz w:val="22"/>
        </w:rPr>
        <w:t xml:space="preserve">Manfredi, Christopher and James Kelly. “Six Degrees of Dialogue: A Response to Hogg and Bushell”. </w:t>
      </w:r>
      <w:proofErr w:type="gramStart"/>
      <w:r w:rsidRPr="00734A84">
        <w:rPr>
          <w:rFonts w:ascii="Times New Roman" w:hAnsi="Times New Roman"/>
          <w:b/>
          <w:i/>
          <w:sz w:val="22"/>
        </w:rPr>
        <w:t>Osgoode Hall Law Journal</w:t>
      </w:r>
      <w:r w:rsidRPr="00734A84">
        <w:rPr>
          <w:rFonts w:ascii="Times New Roman" w:hAnsi="Times New Roman"/>
          <w:b/>
          <w:sz w:val="22"/>
        </w:rPr>
        <w:t>.</w:t>
      </w:r>
      <w:proofErr w:type="gramEnd"/>
      <w:r w:rsidRPr="00734A84">
        <w:rPr>
          <w:rFonts w:ascii="Times New Roman" w:hAnsi="Times New Roman"/>
          <w:b/>
          <w:sz w:val="22"/>
        </w:rPr>
        <w:t xml:space="preserve"> 37:3. </w:t>
      </w:r>
    </w:p>
    <w:p w:rsidR="002F3A7E" w:rsidRPr="00734A84" w:rsidRDefault="002F3A7E" w:rsidP="002F3A7E">
      <w:pPr>
        <w:rPr>
          <w:rFonts w:ascii="Times New Roman" w:hAnsi="Times New Roman"/>
          <w:b/>
          <w:sz w:val="22"/>
        </w:rPr>
      </w:pPr>
    </w:p>
    <w:p w:rsidR="002F3A7E" w:rsidRPr="00734A84" w:rsidRDefault="002F3A7E" w:rsidP="002F3A7E">
      <w:pPr>
        <w:rPr>
          <w:rFonts w:ascii="Times New Roman" w:hAnsi="Times New Roman"/>
          <w:b/>
          <w:i/>
          <w:sz w:val="22"/>
        </w:rPr>
      </w:pP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b/>
          <w:i/>
          <w:sz w:val="22"/>
        </w:rPr>
        <w:t xml:space="preserve">Thesis and Summary: </w:t>
      </w:r>
    </w:p>
    <w:p w:rsidR="002F3A7E" w:rsidRPr="00734A84" w:rsidRDefault="002F3A7E" w:rsidP="002F3A7E">
      <w:pPr>
        <w:rPr>
          <w:rFonts w:ascii="Times New Roman" w:hAnsi="Times New Roman"/>
          <w:sz w:val="22"/>
        </w:rPr>
      </w:pPr>
    </w:p>
    <w:p w:rsidR="002F3A7E" w:rsidRPr="00734A84" w:rsidRDefault="002F3A7E" w:rsidP="002F3A7E">
      <w:pPr>
        <w:rPr>
          <w:rFonts w:ascii="Times New Roman" w:hAnsi="Times New Roman"/>
          <w:sz w:val="22"/>
        </w:rPr>
      </w:pPr>
      <w:r w:rsidRPr="00734A84">
        <w:rPr>
          <w:rFonts w:ascii="Times New Roman" w:hAnsi="Times New Roman"/>
          <w:sz w:val="22"/>
        </w:rPr>
        <w:t xml:space="preserve">Hogg and Bushell argue that the Charter is democratically legitimate. The relationship between the courts and the legislatures is a </w:t>
      </w:r>
      <w:r w:rsidRPr="00734A84">
        <w:rPr>
          <w:rFonts w:ascii="Times New Roman" w:hAnsi="Times New Roman"/>
          <w:i/>
          <w:sz w:val="22"/>
        </w:rPr>
        <w:t>dialogue</w:t>
      </w:r>
      <w:r w:rsidRPr="00734A84">
        <w:rPr>
          <w:rFonts w:ascii="Times New Roman" w:hAnsi="Times New Roman"/>
          <w:sz w:val="22"/>
        </w:rPr>
        <w:t xml:space="preserve">: in 80% of the cases Hogg and Bushell studied, a court’s decision to strike down a given statute was followed up by a legislative response (a new law, an amendment, etc.). Even the language of legislation today (especially in preambles) reflects the fact that legislatures think of themselves in dialogue with courts on the interpretation of the Charter. Lawmakers have a wide variety of means (including means within the Charter itself such as s.1 and s.33) to “push back” when their legislation is struck down by the courts.  </w:t>
      </w:r>
    </w:p>
    <w:p w:rsidR="002F3A7E" w:rsidRPr="00734A84" w:rsidRDefault="002F3A7E" w:rsidP="002F3A7E">
      <w:pPr>
        <w:rPr>
          <w:rFonts w:ascii="Times New Roman" w:hAnsi="Times New Roman"/>
          <w:sz w:val="22"/>
        </w:rPr>
      </w:pPr>
    </w:p>
    <w:p w:rsidR="002F3A7E" w:rsidRPr="00734A84" w:rsidRDefault="002F3A7E" w:rsidP="002F3A7E">
      <w:pPr>
        <w:rPr>
          <w:rFonts w:ascii="Times New Roman" w:hAnsi="Times New Roman"/>
          <w:sz w:val="22"/>
        </w:rPr>
      </w:pPr>
      <w:r w:rsidRPr="00734A84">
        <w:rPr>
          <w:rFonts w:ascii="Times New Roman" w:hAnsi="Times New Roman"/>
          <w:sz w:val="22"/>
        </w:rPr>
        <w:t xml:space="preserve">In their critique of Hogg and Bushell, Christopher Manfredi and James Kelly first point out that the “dialogue” metaphor, which influenced the Court itself in </w:t>
      </w:r>
      <w:r w:rsidRPr="00734A84">
        <w:rPr>
          <w:rFonts w:ascii="Times New Roman" w:hAnsi="Times New Roman"/>
          <w:i/>
          <w:sz w:val="22"/>
        </w:rPr>
        <w:t>Vriend</w:t>
      </w:r>
      <w:r w:rsidRPr="00734A84">
        <w:rPr>
          <w:rFonts w:ascii="Times New Roman" w:hAnsi="Times New Roman"/>
          <w:sz w:val="22"/>
        </w:rPr>
        <w:t xml:space="preserve">, originated with Hogg and Bushell’s well-known article. They then critique the article on empirical and normative grounds. They offer a number of arguments (of varying quality), the most compelling of which are (1) that the dialogue between Courts and Parliament exists but is considerably less extensive than Hogg and Bushell claim and (2) that Hogg and Bushell improperly assume that the judiciary has a monopoly on the interpretation of the Charter. </w:t>
      </w:r>
    </w:p>
    <w:p w:rsidR="002F3A7E" w:rsidRPr="00734A84" w:rsidRDefault="002F3A7E" w:rsidP="002F3A7E">
      <w:pPr>
        <w:rPr>
          <w:rFonts w:ascii="Times New Roman" w:hAnsi="Times New Roman"/>
          <w:sz w:val="22"/>
        </w:rPr>
      </w:pPr>
    </w:p>
    <w:p w:rsidR="002F3A7E" w:rsidRPr="00734A84" w:rsidRDefault="002F3A7E" w:rsidP="002F3A7E">
      <w:pPr>
        <w:rPr>
          <w:rFonts w:ascii="Times New Roman" w:hAnsi="Times New Roman"/>
          <w:sz w:val="22"/>
        </w:rPr>
      </w:pPr>
      <w:r w:rsidRPr="00734A84">
        <w:rPr>
          <w:rFonts w:ascii="Times New Roman" w:hAnsi="Times New Roman"/>
          <w:b/>
          <w:sz w:val="22"/>
        </w:rPr>
        <w:tab/>
      </w:r>
      <w:r w:rsidRPr="00734A84">
        <w:rPr>
          <w:rFonts w:ascii="Times New Roman" w:hAnsi="Times New Roman"/>
          <w:b/>
          <w:sz w:val="22"/>
        </w:rPr>
        <w:tab/>
      </w:r>
      <w:r w:rsidRPr="00734A84">
        <w:rPr>
          <w:rFonts w:ascii="Times New Roman" w:hAnsi="Times New Roman"/>
          <w:b/>
          <w:sz w:val="22"/>
        </w:rPr>
        <w:tab/>
      </w:r>
      <w:r w:rsidRPr="00734A84">
        <w:rPr>
          <w:rFonts w:ascii="Times New Roman" w:hAnsi="Times New Roman"/>
          <w:b/>
          <w:i/>
          <w:sz w:val="22"/>
        </w:rPr>
        <w:t>Methodology and Theoretical Perspective</w:t>
      </w:r>
    </w:p>
    <w:p w:rsidR="002F3A7E" w:rsidRPr="00734A84" w:rsidRDefault="002F3A7E" w:rsidP="002F3A7E">
      <w:pPr>
        <w:rPr>
          <w:rFonts w:ascii="Times New Roman" w:hAnsi="Times New Roman"/>
          <w:sz w:val="22"/>
        </w:rPr>
      </w:pPr>
    </w:p>
    <w:p w:rsidR="002F3A7E" w:rsidRPr="00734A84" w:rsidRDefault="002F3A7E" w:rsidP="002F3A7E">
      <w:pPr>
        <w:rPr>
          <w:rFonts w:ascii="Times New Roman" w:hAnsi="Times New Roman"/>
          <w:sz w:val="22"/>
        </w:rPr>
      </w:pPr>
      <w:r w:rsidRPr="00734A84">
        <w:rPr>
          <w:rFonts w:ascii="Times New Roman" w:hAnsi="Times New Roman"/>
          <w:sz w:val="22"/>
        </w:rPr>
        <w:t xml:space="preserve">The methodology in this well-known article is clear and straightforward: Hogg and Bushell examined sixty-five cases in which a court struck down a law on Charter grounds; this included every Supreme Court case and a number of important lower-court cases. </w:t>
      </w:r>
    </w:p>
    <w:p w:rsidR="002F3A7E" w:rsidRPr="00734A84" w:rsidRDefault="002F3A7E" w:rsidP="002F3A7E">
      <w:pPr>
        <w:rPr>
          <w:rFonts w:ascii="Times New Roman" w:hAnsi="Times New Roman"/>
          <w:sz w:val="22"/>
        </w:rPr>
      </w:pPr>
    </w:p>
    <w:p w:rsidR="002F3A7E" w:rsidRPr="00734A84" w:rsidRDefault="002F3A7E" w:rsidP="002F3A7E">
      <w:pPr>
        <w:ind w:left="432" w:firstLine="288"/>
        <w:rPr>
          <w:rFonts w:ascii="Times New Roman" w:hAnsi="Times New Roman"/>
          <w:sz w:val="22"/>
        </w:rPr>
      </w:pPr>
      <w:r w:rsidRPr="00734A84">
        <w:rPr>
          <w:rFonts w:ascii="Times New Roman" w:hAnsi="Times New Roman"/>
          <w:b/>
          <w:i/>
          <w:sz w:val="22"/>
        </w:rPr>
        <w:t>Comparison with Other Readings and Contribution to the Literature</w:t>
      </w:r>
    </w:p>
    <w:p w:rsidR="002F3A7E" w:rsidRPr="00734A84" w:rsidRDefault="002F3A7E" w:rsidP="002F3A7E">
      <w:pPr>
        <w:rPr>
          <w:rFonts w:ascii="Times New Roman" w:hAnsi="Times New Roman"/>
          <w:sz w:val="22"/>
        </w:rPr>
      </w:pPr>
    </w:p>
    <w:p w:rsidR="002F3A7E" w:rsidRPr="00734A84" w:rsidRDefault="002F3A7E" w:rsidP="002F3A7E">
      <w:pPr>
        <w:rPr>
          <w:rFonts w:ascii="Times New Roman" w:hAnsi="Times New Roman"/>
          <w:sz w:val="22"/>
        </w:rPr>
      </w:pPr>
      <w:r w:rsidRPr="00734A84">
        <w:rPr>
          <w:rFonts w:ascii="Times New Roman" w:hAnsi="Times New Roman"/>
          <w:sz w:val="22"/>
        </w:rPr>
        <w:t xml:space="preserve">Hogg and Bushell’s argument is an alternative to the much more common view (see Morton/Knopff, Manfredi, and even, to some extent, Hiebert) that judicial power in Canada is improperly taking over the legislating and policy-making role of legislatures and executives. Hogg and Bushell’s article forms the basis of Hiebert’s normative understanding of the proper relationship between courts and legislatures. </w:t>
      </w:r>
    </w:p>
    <w:p w:rsidR="002F3A7E" w:rsidRPr="00734A84" w:rsidRDefault="002F3A7E" w:rsidP="002F3A7E">
      <w:pPr>
        <w:rPr>
          <w:rFonts w:ascii="Times New Roman" w:hAnsi="Times New Roman"/>
          <w:sz w:val="22"/>
        </w:rPr>
      </w:pPr>
    </w:p>
    <w:p w:rsidR="002F3A7E" w:rsidRPr="00734A84" w:rsidRDefault="002F3A7E" w:rsidP="002F3A7E">
      <w:pPr>
        <w:ind w:left="432" w:firstLine="288"/>
        <w:rPr>
          <w:rFonts w:ascii="Times New Roman" w:hAnsi="Times New Roman"/>
          <w:i/>
          <w:sz w:val="22"/>
        </w:rPr>
      </w:pPr>
      <w:r w:rsidRPr="00734A84">
        <w:rPr>
          <w:rFonts w:ascii="Times New Roman" w:hAnsi="Times New Roman"/>
          <w:b/>
          <w:i/>
          <w:sz w:val="22"/>
        </w:rPr>
        <w:t>Relevant Exam Questions</w:t>
      </w:r>
    </w:p>
    <w:p w:rsidR="002F3A7E" w:rsidRPr="00734A84" w:rsidRDefault="002F3A7E" w:rsidP="002F3A7E">
      <w:pPr>
        <w:rPr>
          <w:rFonts w:ascii="Times New Roman" w:hAnsi="Times New Roman"/>
          <w:i/>
          <w:sz w:val="22"/>
        </w:rPr>
      </w:pPr>
    </w:p>
    <w:p w:rsidR="002F3A7E" w:rsidRPr="00734A84" w:rsidRDefault="002F3A7E" w:rsidP="002F3A7E">
      <w:pPr>
        <w:rPr>
          <w:rFonts w:ascii="Times New Roman" w:hAnsi="Times New Roman"/>
          <w:sz w:val="22"/>
        </w:rPr>
      </w:pPr>
      <w:r w:rsidRPr="00734A84">
        <w:rPr>
          <w:rFonts w:ascii="Times New Roman" w:hAnsi="Times New Roman"/>
          <w:sz w:val="22"/>
        </w:rPr>
        <w:t xml:space="preserve">This article is especially useful for any questions about the Charter’s effect on Parliament and the post-Charter relationship between Parliament and the courts. </w:t>
      </w:r>
    </w:p>
    <w:p w:rsidR="002F3A7E" w:rsidRPr="00734A84" w:rsidRDefault="002F3A7E" w:rsidP="002F3A7E">
      <w:pPr>
        <w:rPr>
          <w:rFonts w:ascii="Times New Roman" w:hAnsi="Times New Roman"/>
          <w:b/>
          <w:sz w:val="22"/>
        </w:rPr>
      </w:pPr>
    </w:p>
    <w:p w:rsidR="002F3A7E" w:rsidRPr="00734A84" w:rsidRDefault="002F3A7E" w:rsidP="002F3A7E">
      <w:pPr>
        <w:ind w:firstLine="720"/>
        <w:rPr>
          <w:rFonts w:ascii="Times New Roman" w:hAnsi="Times New Roman"/>
          <w:b/>
          <w:i/>
          <w:sz w:val="22"/>
        </w:rPr>
      </w:pPr>
    </w:p>
    <w:p w:rsidR="002F3A7E" w:rsidRPr="00734A84" w:rsidRDefault="002F3A7E" w:rsidP="002F3A7E">
      <w:pPr>
        <w:ind w:firstLine="720"/>
        <w:rPr>
          <w:rFonts w:ascii="Times New Roman" w:hAnsi="Times New Roman"/>
          <w:b/>
          <w:sz w:val="22"/>
        </w:rPr>
      </w:pPr>
      <w:r w:rsidRPr="00734A84">
        <w:rPr>
          <w:rFonts w:ascii="Times New Roman" w:hAnsi="Times New Roman"/>
          <w:b/>
          <w:i/>
          <w:sz w:val="22"/>
        </w:rPr>
        <w:t>Detailed Notes:</w:t>
      </w:r>
    </w:p>
    <w:p w:rsidR="002F3A7E" w:rsidRPr="00734A84" w:rsidRDefault="002F3A7E" w:rsidP="002F3A7E">
      <w:pPr>
        <w:ind w:left="907" w:firstLine="720"/>
        <w:rPr>
          <w:rFonts w:ascii="Times New Roman" w:hAnsi="Times New Roman"/>
          <w:b/>
          <w:sz w:val="22"/>
        </w:rPr>
      </w:pPr>
    </w:p>
    <w:p w:rsidR="002F3A7E" w:rsidRPr="00734A84" w:rsidRDefault="002F3A7E" w:rsidP="002F3A7E">
      <w:pPr>
        <w:rPr>
          <w:rFonts w:ascii="Times New Roman" w:hAnsi="Times New Roman"/>
          <w:i/>
          <w:sz w:val="22"/>
        </w:rPr>
      </w:pPr>
      <w:r w:rsidRPr="00734A84">
        <w:rPr>
          <w:rFonts w:ascii="Times New Roman" w:hAnsi="Times New Roman"/>
          <w:i/>
          <w:sz w:val="22"/>
        </w:rPr>
        <w:t>The Concept of Dialogue</w:t>
      </w:r>
    </w:p>
    <w:p w:rsidR="002F3A7E" w:rsidRPr="00734A84" w:rsidRDefault="002F3A7E" w:rsidP="002F3A7E">
      <w:pPr>
        <w:rPr>
          <w:rFonts w:ascii="Times New Roman" w:hAnsi="Times New Roman"/>
          <w:b/>
          <w:sz w:val="22"/>
        </w:rPr>
      </w:pPr>
    </w:p>
    <w:p w:rsidR="002F3A7E" w:rsidRPr="00734A84" w:rsidRDefault="002F3A7E" w:rsidP="002F3A7E">
      <w:pPr>
        <w:pStyle w:val="ReadingNotes"/>
        <w:rPr>
          <w:rFonts w:ascii="Times New Roman" w:hAnsi="Times New Roman"/>
          <w:sz w:val="22"/>
        </w:rPr>
      </w:pPr>
      <w:r w:rsidRPr="00734A84">
        <w:rPr>
          <w:rFonts w:ascii="Times New Roman" w:hAnsi="Times New Roman"/>
          <w:sz w:val="22"/>
        </w:rPr>
        <w:t>79-80</w:t>
      </w:r>
      <w:r w:rsidRPr="00734A84">
        <w:rPr>
          <w:rFonts w:ascii="Times New Roman" w:hAnsi="Times New Roman"/>
          <w:sz w:val="22"/>
        </w:rPr>
        <w:tab/>
        <w:t>Where a judicial decision is open to legislative reversal, modification, or avoidance, then it is meaningful to regard the relationship between judiciary and legislature as a dialogue; in such a case the judicial decision causes a public debate</w:t>
      </w:r>
    </w:p>
    <w:p w:rsidR="002F3A7E" w:rsidRPr="00734A84" w:rsidRDefault="002F3A7E" w:rsidP="002F3A7E">
      <w:pPr>
        <w:pStyle w:val="ReadingNotes"/>
        <w:rPr>
          <w:rFonts w:ascii="Times New Roman" w:hAnsi="Times New Roman"/>
          <w:i/>
          <w:sz w:val="22"/>
        </w:rPr>
      </w:pPr>
      <w:r w:rsidRPr="00734A84">
        <w:rPr>
          <w:rFonts w:ascii="Times New Roman" w:hAnsi="Times New Roman"/>
          <w:i/>
          <w:sz w:val="22"/>
        </w:rPr>
        <w:t>How Dialogue Works</w:t>
      </w:r>
    </w:p>
    <w:p w:rsidR="002F3A7E" w:rsidRPr="00734A84" w:rsidRDefault="002F3A7E" w:rsidP="002F3A7E">
      <w:pPr>
        <w:pStyle w:val="ReadingNotes"/>
        <w:rPr>
          <w:rFonts w:ascii="Times New Roman" w:hAnsi="Times New Roman"/>
          <w:sz w:val="22"/>
        </w:rPr>
      </w:pPr>
      <w:r w:rsidRPr="00734A84">
        <w:rPr>
          <w:rFonts w:ascii="Times New Roman" w:hAnsi="Times New Roman"/>
          <w:sz w:val="22"/>
        </w:rPr>
        <w:t>80-81</w:t>
      </w:r>
      <w:r w:rsidRPr="00734A84">
        <w:rPr>
          <w:rFonts w:ascii="Times New Roman" w:hAnsi="Times New Roman"/>
          <w:sz w:val="22"/>
        </w:rPr>
        <w:tab/>
        <w:t>The court may have forced a topic onto the legislative agenda that the legislature might have preferred not to deal with, but the final decision is a democratic one</w:t>
      </w:r>
    </w:p>
    <w:p w:rsidR="002F3A7E" w:rsidRPr="00734A84" w:rsidRDefault="002F3A7E" w:rsidP="002F3A7E">
      <w:pPr>
        <w:pStyle w:val="ReadingNotes"/>
        <w:rPr>
          <w:rFonts w:ascii="Times New Roman" w:hAnsi="Times New Roman"/>
          <w:sz w:val="22"/>
        </w:rPr>
      </w:pPr>
      <w:r w:rsidRPr="00734A84">
        <w:rPr>
          <w:rFonts w:ascii="Times New Roman" w:hAnsi="Times New Roman"/>
          <w:sz w:val="22"/>
        </w:rPr>
        <w:tab/>
        <w:t>The dialogue can only take place if the judicial decision can be reversed, modified, or avoided, but it turns out that this is the normal situation; in most cases, minor amendments are all that is required to respect the Charter</w:t>
      </w:r>
    </w:p>
    <w:p w:rsidR="002F3A7E" w:rsidRPr="00734A84" w:rsidRDefault="002F3A7E" w:rsidP="002F3A7E">
      <w:pPr>
        <w:pStyle w:val="ReadingNotes"/>
        <w:rPr>
          <w:rFonts w:ascii="Times New Roman" w:hAnsi="Times New Roman"/>
          <w:sz w:val="22"/>
        </w:rPr>
      </w:pPr>
      <w:r w:rsidRPr="00734A84">
        <w:rPr>
          <w:rFonts w:ascii="Times New Roman" w:hAnsi="Times New Roman"/>
          <w:sz w:val="22"/>
        </w:rPr>
        <w:tab/>
        <w:t>It is rare, in fact, when a constitutional defect can’t be remedied; the Charter acts as a catalyst for a two-way exchange between the judiciary and the legislature on the topic of human rights and freedoms; rarely raises a barrier to the wishes of the democratic institutions</w:t>
      </w:r>
    </w:p>
    <w:p w:rsidR="002F3A7E" w:rsidRPr="00734A84" w:rsidRDefault="002F3A7E" w:rsidP="002F3A7E">
      <w:pPr>
        <w:pStyle w:val="ReadingNotes"/>
        <w:rPr>
          <w:rFonts w:ascii="Times New Roman" w:hAnsi="Times New Roman"/>
          <w:sz w:val="22"/>
        </w:rPr>
      </w:pPr>
      <w:r w:rsidRPr="00734A84">
        <w:rPr>
          <w:rFonts w:ascii="Times New Roman" w:hAnsi="Times New Roman"/>
          <w:i/>
          <w:sz w:val="22"/>
        </w:rPr>
        <w:t>The Definition of Dialogue</w:t>
      </w:r>
    </w:p>
    <w:p w:rsidR="002F3A7E" w:rsidRPr="00734A84" w:rsidRDefault="002F3A7E" w:rsidP="002F3A7E">
      <w:pPr>
        <w:pStyle w:val="ReadingNotes"/>
        <w:rPr>
          <w:rFonts w:ascii="Times New Roman" w:hAnsi="Times New Roman"/>
          <w:sz w:val="22"/>
        </w:rPr>
      </w:pPr>
      <w:r w:rsidRPr="00734A84">
        <w:rPr>
          <w:rFonts w:ascii="Times New Roman" w:hAnsi="Times New Roman"/>
          <w:sz w:val="22"/>
        </w:rPr>
        <w:t>81-82</w:t>
      </w:r>
      <w:r w:rsidRPr="00734A84">
        <w:rPr>
          <w:rFonts w:ascii="Times New Roman" w:hAnsi="Times New Roman"/>
          <w:sz w:val="22"/>
        </w:rPr>
        <w:tab/>
        <w:t xml:space="preserve">Surveyed sixty-five cases in which a law was struck down for a breach of the </w:t>
      </w:r>
      <w:r w:rsidRPr="00734A84">
        <w:rPr>
          <w:rFonts w:ascii="Times New Roman" w:hAnsi="Times New Roman"/>
          <w:i/>
          <w:sz w:val="22"/>
        </w:rPr>
        <w:t>Charter</w:t>
      </w:r>
      <w:r w:rsidRPr="00734A84">
        <w:rPr>
          <w:rFonts w:ascii="Times New Roman" w:hAnsi="Times New Roman"/>
          <w:sz w:val="22"/>
        </w:rPr>
        <w:t>, including all SCC decisions and several important lower court decisions; then surveyed whatever “legislative sequels” might exist to those decisions</w:t>
      </w:r>
    </w:p>
    <w:p w:rsidR="002F3A7E" w:rsidRPr="00734A84" w:rsidRDefault="002F3A7E" w:rsidP="002F3A7E">
      <w:pPr>
        <w:pStyle w:val="ReadingNotes"/>
        <w:rPr>
          <w:rFonts w:ascii="Times New Roman" w:hAnsi="Times New Roman"/>
          <w:sz w:val="22"/>
        </w:rPr>
      </w:pPr>
      <w:r w:rsidRPr="00734A84">
        <w:rPr>
          <w:rFonts w:ascii="Times New Roman" w:hAnsi="Times New Roman"/>
          <w:sz w:val="22"/>
        </w:rPr>
        <w:tab/>
        <w:t>A dialogue, then, is a case in which a judicial strike-down is followed up by a legislative body</w:t>
      </w:r>
    </w:p>
    <w:p w:rsidR="002F3A7E" w:rsidRPr="00734A84" w:rsidRDefault="002F3A7E" w:rsidP="002F3A7E">
      <w:pPr>
        <w:pStyle w:val="ReadingNotes"/>
        <w:rPr>
          <w:rFonts w:ascii="Times New Roman" w:hAnsi="Times New Roman"/>
          <w:i/>
          <w:sz w:val="22"/>
        </w:rPr>
      </w:pPr>
      <w:r w:rsidRPr="00734A84">
        <w:rPr>
          <w:rFonts w:ascii="Times New Roman" w:hAnsi="Times New Roman"/>
          <w:i/>
          <w:sz w:val="22"/>
        </w:rPr>
        <w:t>Features of the Charter that facilitate Dialogue</w:t>
      </w:r>
    </w:p>
    <w:p w:rsidR="002F3A7E" w:rsidRPr="00734A84" w:rsidRDefault="002F3A7E" w:rsidP="002F3A7E">
      <w:pPr>
        <w:pStyle w:val="ReadingNotes"/>
        <w:rPr>
          <w:rFonts w:ascii="Times New Roman" w:hAnsi="Times New Roman"/>
          <w:sz w:val="22"/>
        </w:rPr>
      </w:pPr>
      <w:r w:rsidRPr="00734A84">
        <w:rPr>
          <w:rFonts w:ascii="Times New Roman" w:hAnsi="Times New Roman"/>
          <w:sz w:val="22"/>
        </w:rPr>
        <w:t>82-91</w:t>
      </w:r>
      <w:r w:rsidRPr="00734A84">
        <w:rPr>
          <w:rFonts w:ascii="Times New Roman" w:hAnsi="Times New Roman"/>
          <w:sz w:val="22"/>
        </w:rPr>
        <w:tab/>
        <w:t>Four features of the Charter that facilitate dialogue:</w:t>
      </w:r>
    </w:p>
    <w:p w:rsidR="002F3A7E" w:rsidRPr="00734A84" w:rsidRDefault="002F3A7E" w:rsidP="002F3A7E">
      <w:pPr>
        <w:pStyle w:val="ReadingNotes"/>
        <w:numPr>
          <w:ilvl w:val="0"/>
          <w:numId w:val="1"/>
        </w:numPr>
        <w:rPr>
          <w:rFonts w:ascii="Times New Roman" w:hAnsi="Times New Roman"/>
          <w:sz w:val="22"/>
        </w:rPr>
      </w:pPr>
      <w:r w:rsidRPr="00734A84">
        <w:rPr>
          <w:rFonts w:ascii="Times New Roman" w:hAnsi="Times New Roman"/>
          <w:sz w:val="22"/>
        </w:rPr>
        <w:t xml:space="preserve"> Section 33: the power of legislative override; it has become relatively unimportant because of a political climate resistant to its use</w:t>
      </w:r>
    </w:p>
    <w:p w:rsidR="002F3A7E" w:rsidRPr="00734A84" w:rsidRDefault="002F3A7E" w:rsidP="002F3A7E">
      <w:pPr>
        <w:pStyle w:val="ReadingNotes"/>
        <w:numPr>
          <w:ilvl w:val="0"/>
          <w:numId w:val="1"/>
        </w:numPr>
        <w:rPr>
          <w:rFonts w:ascii="Times New Roman" w:hAnsi="Times New Roman"/>
          <w:sz w:val="22"/>
        </w:rPr>
      </w:pPr>
      <w:r w:rsidRPr="00734A84">
        <w:rPr>
          <w:rFonts w:ascii="Times New Roman" w:hAnsi="Times New Roman"/>
          <w:sz w:val="22"/>
        </w:rPr>
        <w:t xml:space="preserve"> Section 1: the reasonable limits clause: all the rights can be limited by a law that meets the standards of this section as laid down in the </w:t>
      </w:r>
      <w:r w:rsidRPr="00734A84">
        <w:rPr>
          <w:rFonts w:ascii="Times New Roman" w:hAnsi="Times New Roman"/>
          <w:i/>
          <w:sz w:val="22"/>
        </w:rPr>
        <w:t xml:space="preserve">Oakes </w:t>
      </w:r>
      <w:r w:rsidRPr="00734A84">
        <w:rPr>
          <w:rFonts w:ascii="Times New Roman" w:hAnsi="Times New Roman"/>
          <w:sz w:val="22"/>
        </w:rPr>
        <w:t>test: (a) law must pursue an important objective (b) must be rationally connected with the objective (c) must impair the objective no more than necessary (d) must be proportionate – policy makers can usually devise a less restrictive alternative</w:t>
      </w:r>
    </w:p>
    <w:p w:rsidR="002F3A7E" w:rsidRPr="00734A84" w:rsidRDefault="002F3A7E" w:rsidP="002F3A7E">
      <w:pPr>
        <w:pStyle w:val="ReadingNotes"/>
        <w:numPr>
          <w:ilvl w:val="0"/>
          <w:numId w:val="1"/>
        </w:numPr>
        <w:rPr>
          <w:rFonts w:ascii="Times New Roman" w:hAnsi="Times New Roman"/>
          <w:sz w:val="22"/>
        </w:rPr>
      </w:pPr>
      <w:r w:rsidRPr="00734A84">
        <w:rPr>
          <w:rFonts w:ascii="Times New Roman" w:hAnsi="Times New Roman"/>
          <w:sz w:val="22"/>
        </w:rPr>
        <w:t xml:space="preserve"> Qualified Charter rights: some of the rights are framed in qualified terms: “unreasonable” search and seizure; “arbitrary” detention; “cruel and unusual” punishment, and so on; Parliament is forced to review its investigatory powers and include more elaborate safeguards; here again a productive dialogue</w:t>
      </w:r>
    </w:p>
    <w:p w:rsidR="002F3A7E" w:rsidRPr="00734A84" w:rsidRDefault="002F3A7E" w:rsidP="002F3A7E">
      <w:pPr>
        <w:pStyle w:val="ReadingNotes"/>
        <w:numPr>
          <w:ilvl w:val="0"/>
          <w:numId w:val="1"/>
        </w:numPr>
        <w:rPr>
          <w:rFonts w:ascii="Times New Roman" w:hAnsi="Times New Roman"/>
          <w:sz w:val="22"/>
        </w:rPr>
      </w:pPr>
      <w:r w:rsidRPr="00734A84">
        <w:rPr>
          <w:rFonts w:ascii="Times New Roman" w:hAnsi="Times New Roman"/>
          <w:sz w:val="22"/>
        </w:rPr>
        <w:t xml:space="preserve"> Equality rights: there are a number of ways to comply with a violation: include the excluded in a benefit, get rid of the benefit altogether; but the section leaves the door for dialogue since the option of getting rid of the benefit is always there</w:t>
      </w:r>
    </w:p>
    <w:p w:rsidR="002F3A7E" w:rsidRPr="00734A84" w:rsidRDefault="002F3A7E" w:rsidP="002F3A7E">
      <w:pPr>
        <w:pStyle w:val="ReadingNotes"/>
        <w:rPr>
          <w:rFonts w:ascii="Times New Roman" w:hAnsi="Times New Roman"/>
          <w:i/>
          <w:sz w:val="22"/>
        </w:rPr>
      </w:pPr>
      <w:r w:rsidRPr="00734A84">
        <w:rPr>
          <w:rFonts w:ascii="Times New Roman" w:hAnsi="Times New Roman"/>
          <w:i/>
          <w:sz w:val="22"/>
        </w:rPr>
        <w:t>Features of the Charter or situations where dialogue is precluded</w:t>
      </w:r>
    </w:p>
    <w:p w:rsidR="002F3A7E" w:rsidRPr="00734A84" w:rsidRDefault="002F3A7E" w:rsidP="002F3A7E">
      <w:pPr>
        <w:pStyle w:val="ReadingNotes"/>
        <w:rPr>
          <w:rFonts w:ascii="Times New Roman" w:hAnsi="Times New Roman"/>
          <w:sz w:val="22"/>
        </w:rPr>
      </w:pPr>
      <w:r w:rsidRPr="00734A84">
        <w:rPr>
          <w:rFonts w:ascii="Times New Roman" w:hAnsi="Times New Roman"/>
          <w:sz w:val="22"/>
        </w:rPr>
        <w:t>92-96</w:t>
      </w:r>
      <w:r w:rsidRPr="00734A84">
        <w:rPr>
          <w:rFonts w:ascii="Times New Roman" w:hAnsi="Times New Roman"/>
          <w:sz w:val="22"/>
        </w:rPr>
        <w:tab/>
        <w:t>Three situations where dialogue is precluded:</w:t>
      </w:r>
    </w:p>
    <w:p w:rsidR="002F3A7E" w:rsidRPr="00734A84" w:rsidRDefault="002F3A7E" w:rsidP="002F3A7E">
      <w:pPr>
        <w:pStyle w:val="ReadingNotes"/>
        <w:numPr>
          <w:ilvl w:val="0"/>
          <w:numId w:val="2"/>
        </w:numPr>
        <w:rPr>
          <w:rFonts w:ascii="Times New Roman" w:hAnsi="Times New Roman"/>
          <w:sz w:val="22"/>
        </w:rPr>
      </w:pPr>
      <w:r w:rsidRPr="00734A84">
        <w:rPr>
          <w:rFonts w:ascii="Times New Roman" w:hAnsi="Times New Roman"/>
          <w:sz w:val="22"/>
        </w:rPr>
        <w:t xml:space="preserve"> Where section 1 does not apply: sometimes there is no room for “reasonable limits”; very rare that this happens, but an example is the </w:t>
      </w:r>
      <w:r w:rsidRPr="00734A84">
        <w:rPr>
          <w:rFonts w:ascii="Times New Roman" w:hAnsi="Times New Roman"/>
          <w:i/>
          <w:sz w:val="22"/>
        </w:rPr>
        <w:t xml:space="preserve">Quebec School Boards </w:t>
      </w:r>
      <w:r w:rsidRPr="00734A84">
        <w:rPr>
          <w:rFonts w:ascii="Times New Roman" w:hAnsi="Times New Roman"/>
          <w:sz w:val="22"/>
        </w:rPr>
        <w:t>case, in which section 1 and section 33 didn’t apply so they were forced to comply</w:t>
      </w:r>
    </w:p>
    <w:p w:rsidR="002F3A7E" w:rsidRPr="00734A84" w:rsidRDefault="002F3A7E" w:rsidP="002F3A7E">
      <w:pPr>
        <w:pStyle w:val="ReadingNotes"/>
        <w:numPr>
          <w:ilvl w:val="0"/>
          <w:numId w:val="2"/>
        </w:numPr>
        <w:rPr>
          <w:rFonts w:ascii="Times New Roman" w:hAnsi="Times New Roman"/>
          <w:sz w:val="22"/>
        </w:rPr>
      </w:pPr>
      <w:r w:rsidRPr="00734A84">
        <w:rPr>
          <w:rFonts w:ascii="Times New Roman" w:hAnsi="Times New Roman"/>
          <w:sz w:val="22"/>
        </w:rPr>
        <w:t xml:space="preserve"> Where the objective of the law is unconstitutional: the actual </w:t>
      </w:r>
      <w:r w:rsidRPr="00734A84">
        <w:rPr>
          <w:rFonts w:ascii="Times New Roman" w:hAnsi="Times New Roman"/>
          <w:i/>
          <w:sz w:val="22"/>
        </w:rPr>
        <w:t xml:space="preserve">purpose </w:t>
      </w:r>
      <w:r w:rsidRPr="00734A84">
        <w:rPr>
          <w:rFonts w:ascii="Times New Roman" w:hAnsi="Times New Roman"/>
          <w:sz w:val="22"/>
        </w:rPr>
        <w:t xml:space="preserve">of the law is unconstitutional, e.g. </w:t>
      </w:r>
      <w:r w:rsidRPr="00734A84">
        <w:rPr>
          <w:rFonts w:ascii="Times New Roman" w:hAnsi="Times New Roman"/>
          <w:i/>
          <w:sz w:val="22"/>
        </w:rPr>
        <w:t xml:space="preserve">R v. Big M Drug Mart Ltd. </w:t>
      </w:r>
      <w:r w:rsidRPr="00734A84">
        <w:rPr>
          <w:rFonts w:ascii="Times New Roman" w:hAnsi="Times New Roman"/>
          <w:sz w:val="22"/>
        </w:rPr>
        <w:t xml:space="preserve">which struck down the federal </w:t>
      </w:r>
      <w:r w:rsidRPr="00734A84">
        <w:rPr>
          <w:rFonts w:ascii="Times New Roman" w:hAnsi="Times New Roman"/>
          <w:i/>
          <w:sz w:val="22"/>
        </w:rPr>
        <w:t>Lord’s Day Act</w:t>
      </w:r>
      <w:r w:rsidRPr="00734A84">
        <w:rPr>
          <w:rFonts w:ascii="Times New Roman" w:hAnsi="Times New Roman"/>
          <w:sz w:val="22"/>
        </w:rPr>
        <w:t xml:space="preserve"> because the purpose violated freedom of religion</w:t>
      </w:r>
    </w:p>
    <w:p w:rsidR="002F3A7E" w:rsidRPr="00734A84" w:rsidRDefault="002F3A7E" w:rsidP="002F3A7E">
      <w:pPr>
        <w:pStyle w:val="ReadingNotes"/>
        <w:numPr>
          <w:ilvl w:val="0"/>
          <w:numId w:val="2"/>
        </w:numPr>
        <w:rPr>
          <w:rFonts w:ascii="Times New Roman" w:hAnsi="Times New Roman"/>
          <w:sz w:val="22"/>
        </w:rPr>
      </w:pPr>
      <w:r w:rsidRPr="00734A84">
        <w:rPr>
          <w:rFonts w:ascii="Times New Roman" w:hAnsi="Times New Roman"/>
          <w:sz w:val="22"/>
        </w:rPr>
        <w:t xml:space="preserve"> Where political forces preclude legislative action: the issue is so controversial that legislative action is precluded, as in </w:t>
      </w:r>
      <w:r w:rsidRPr="00734A84">
        <w:rPr>
          <w:rFonts w:ascii="Times New Roman" w:hAnsi="Times New Roman"/>
          <w:i/>
          <w:sz w:val="22"/>
        </w:rPr>
        <w:t>Morgentaler</w:t>
      </w:r>
    </w:p>
    <w:p w:rsidR="002F3A7E" w:rsidRPr="00734A84" w:rsidRDefault="002F3A7E" w:rsidP="002F3A7E">
      <w:pPr>
        <w:pStyle w:val="ReadingNotes"/>
        <w:rPr>
          <w:rFonts w:ascii="Times New Roman" w:hAnsi="Times New Roman"/>
          <w:sz w:val="22"/>
        </w:rPr>
      </w:pPr>
      <w:r w:rsidRPr="00734A84">
        <w:rPr>
          <w:rFonts w:ascii="Times New Roman" w:hAnsi="Times New Roman"/>
          <w:i/>
          <w:sz w:val="22"/>
        </w:rPr>
        <w:t>The Nature of the Dialogue between Courts and Legislatures</w:t>
      </w:r>
    </w:p>
    <w:p w:rsidR="002F3A7E" w:rsidRPr="00734A84" w:rsidRDefault="002F3A7E" w:rsidP="002F3A7E">
      <w:pPr>
        <w:pStyle w:val="ReadingNotes"/>
        <w:rPr>
          <w:rFonts w:ascii="Times New Roman" w:hAnsi="Times New Roman"/>
          <w:sz w:val="22"/>
        </w:rPr>
      </w:pPr>
      <w:r w:rsidRPr="00734A84">
        <w:rPr>
          <w:rFonts w:ascii="Times New Roman" w:hAnsi="Times New Roman"/>
          <w:sz w:val="22"/>
        </w:rPr>
        <w:t>96-98</w:t>
      </w:r>
      <w:r w:rsidRPr="00734A84">
        <w:rPr>
          <w:rFonts w:ascii="Times New Roman" w:hAnsi="Times New Roman"/>
          <w:sz w:val="22"/>
        </w:rPr>
        <w:tab/>
        <w:t>Most decisions have legislative sequels: 80% of the decisions which struck down laws have generated a legislative response; this legislation is a conscious response to the words spoken by the courts; even on a more restrictive understanding of dialogues, a strong majority of cases were responded to by a legislature</w:t>
      </w:r>
    </w:p>
    <w:p w:rsidR="002F3A7E" w:rsidRPr="00734A84" w:rsidRDefault="002F3A7E" w:rsidP="002F3A7E">
      <w:pPr>
        <w:pStyle w:val="ReadingNotes"/>
        <w:rPr>
          <w:rFonts w:ascii="Times New Roman" w:hAnsi="Times New Roman"/>
          <w:sz w:val="22"/>
        </w:rPr>
      </w:pPr>
      <w:r w:rsidRPr="00734A84">
        <w:rPr>
          <w:rFonts w:ascii="Times New Roman" w:hAnsi="Times New Roman"/>
          <w:sz w:val="22"/>
        </w:rPr>
        <w:t>99-101</w:t>
      </w:r>
      <w:r w:rsidRPr="00734A84">
        <w:rPr>
          <w:rFonts w:ascii="Times New Roman" w:hAnsi="Times New Roman"/>
          <w:sz w:val="22"/>
        </w:rPr>
        <w:tab/>
        <w:t xml:space="preserve">Legislative responses are usually prompt: in 75% of cases, the legislature responds to the court within two years; the only real exception was </w:t>
      </w:r>
      <w:r w:rsidRPr="00734A84">
        <w:rPr>
          <w:rFonts w:ascii="Times New Roman" w:hAnsi="Times New Roman"/>
          <w:i/>
          <w:sz w:val="22"/>
        </w:rPr>
        <w:t xml:space="preserve">Quebec School Boards </w:t>
      </w:r>
      <w:r w:rsidRPr="00734A84">
        <w:rPr>
          <w:rFonts w:ascii="Times New Roman" w:hAnsi="Times New Roman"/>
          <w:sz w:val="22"/>
        </w:rPr>
        <w:t>where the nine-year delay could be seen as a protest of the decision</w:t>
      </w:r>
    </w:p>
    <w:p w:rsidR="002F3A7E" w:rsidRPr="00734A84" w:rsidRDefault="002F3A7E" w:rsidP="002F3A7E">
      <w:pPr>
        <w:pStyle w:val="ReadingNotes"/>
        <w:rPr>
          <w:rFonts w:ascii="Times New Roman" w:hAnsi="Times New Roman"/>
          <w:sz w:val="22"/>
        </w:rPr>
      </w:pPr>
      <w:r w:rsidRPr="00734A84">
        <w:rPr>
          <w:rFonts w:ascii="Times New Roman" w:hAnsi="Times New Roman"/>
          <w:sz w:val="22"/>
        </w:rPr>
        <w:t>101-04</w:t>
      </w:r>
      <w:r w:rsidRPr="00734A84">
        <w:rPr>
          <w:rFonts w:ascii="Times New Roman" w:hAnsi="Times New Roman"/>
          <w:sz w:val="22"/>
        </w:rPr>
        <w:tab/>
        <w:t xml:space="preserve">Legislatures are engaging in “Charter-speak” – the language of the laws themselves, particularly in statutory preambles and purpose clauses, suggests that the legislators are engaging in a self-conscious dialogue; a good example is </w:t>
      </w:r>
      <w:r w:rsidRPr="00734A84">
        <w:rPr>
          <w:rFonts w:ascii="Times New Roman" w:hAnsi="Times New Roman"/>
          <w:i/>
          <w:sz w:val="22"/>
        </w:rPr>
        <w:t>Daviault</w:t>
      </w:r>
    </w:p>
    <w:p w:rsidR="002F3A7E" w:rsidRPr="00734A84" w:rsidRDefault="002F3A7E" w:rsidP="002F3A7E">
      <w:pPr>
        <w:pStyle w:val="ReadingNotes"/>
        <w:rPr>
          <w:rFonts w:ascii="Times New Roman" w:hAnsi="Times New Roman"/>
          <w:sz w:val="22"/>
        </w:rPr>
      </w:pPr>
      <w:r w:rsidRPr="00734A84">
        <w:rPr>
          <w:rFonts w:ascii="Times New Roman" w:hAnsi="Times New Roman"/>
          <w:sz w:val="22"/>
        </w:rPr>
        <w:t>104-05</w:t>
      </w:r>
      <w:r w:rsidRPr="00734A84">
        <w:rPr>
          <w:rFonts w:ascii="Times New Roman" w:hAnsi="Times New Roman"/>
          <w:sz w:val="22"/>
        </w:rPr>
        <w:tab/>
        <w:t xml:space="preserve">Even when a law is upheld, dialogue may occur: the Charter does not give judges a veto over the democratic will of the legislature; in </w:t>
      </w:r>
      <w:r w:rsidRPr="00734A84">
        <w:rPr>
          <w:rFonts w:ascii="Times New Roman" w:hAnsi="Times New Roman"/>
          <w:i/>
          <w:sz w:val="22"/>
        </w:rPr>
        <w:t>Thibaudeau</w:t>
      </w:r>
      <w:r w:rsidRPr="00734A84">
        <w:rPr>
          <w:rFonts w:ascii="Times New Roman" w:hAnsi="Times New Roman"/>
          <w:sz w:val="22"/>
        </w:rPr>
        <w:t>, for example, the legislature acted even though the law was upheld; the Charter dialogue continues outside the courts even when the courts hold that there’s not a Charter issue to talk about</w:t>
      </w:r>
    </w:p>
    <w:p w:rsidR="002F3A7E" w:rsidRPr="00734A84" w:rsidRDefault="002F3A7E" w:rsidP="002F3A7E">
      <w:pPr>
        <w:pStyle w:val="ReadingNotes"/>
        <w:rPr>
          <w:rFonts w:ascii="Times New Roman" w:hAnsi="Times New Roman"/>
          <w:sz w:val="22"/>
        </w:rPr>
      </w:pPr>
      <w:r w:rsidRPr="00734A84">
        <w:rPr>
          <w:rFonts w:ascii="Times New Roman" w:hAnsi="Times New Roman"/>
          <w:i/>
          <w:sz w:val="22"/>
        </w:rPr>
        <w:t>Conclusion</w:t>
      </w:r>
    </w:p>
    <w:p w:rsidR="002F3A7E" w:rsidRPr="00734A84" w:rsidRDefault="002F3A7E" w:rsidP="002F3A7E">
      <w:pPr>
        <w:pStyle w:val="ReadingNotes"/>
        <w:rPr>
          <w:rFonts w:ascii="Times New Roman" w:hAnsi="Times New Roman"/>
          <w:sz w:val="22"/>
        </w:rPr>
      </w:pPr>
      <w:r w:rsidRPr="00734A84">
        <w:rPr>
          <w:rFonts w:ascii="Times New Roman" w:hAnsi="Times New Roman"/>
          <w:sz w:val="22"/>
        </w:rPr>
        <w:t>105</w:t>
      </w:r>
      <w:r w:rsidRPr="00734A84">
        <w:rPr>
          <w:rFonts w:ascii="Times New Roman" w:hAnsi="Times New Roman"/>
          <w:sz w:val="22"/>
        </w:rPr>
        <w:tab/>
        <w:t>The critique of the Charter based on democratic legitimacy can’t be sustained: the decisions of the court leave room (almost always) for a legislative response and they usually get one; judicial review is therefore the beginning of a dialogue on how to reconcile the individualist values of the Charter with the accomplishment of various social policies</w:t>
      </w:r>
    </w:p>
    <w:p w:rsidR="002F3A7E" w:rsidRPr="00734A84" w:rsidRDefault="002F3A7E" w:rsidP="002F3A7E">
      <w:pPr>
        <w:pStyle w:val="ReadingNotes"/>
        <w:rPr>
          <w:rFonts w:ascii="Times New Roman" w:hAnsi="Times New Roman"/>
          <w:i/>
          <w:sz w:val="22"/>
        </w:rPr>
      </w:pPr>
      <w:r w:rsidRPr="00734A84">
        <w:rPr>
          <w:rFonts w:ascii="Times New Roman" w:hAnsi="Times New Roman"/>
          <w:i/>
          <w:sz w:val="22"/>
        </w:rPr>
        <w:t>Christopher Manfredi and James Kelly: A Response to Hogg and Bushell</w:t>
      </w:r>
    </w:p>
    <w:p w:rsidR="002F3A7E" w:rsidRPr="00734A84" w:rsidRDefault="002F3A7E" w:rsidP="002F3A7E">
      <w:pPr>
        <w:pStyle w:val="ReadingNotes"/>
        <w:rPr>
          <w:rFonts w:ascii="Times New Roman" w:hAnsi="Times New Roman"/>
          <w:sz w:val="22"/>
        </w:rPr>
      </w:pPr>
      <w:r w:rsidRPr="00734A84">
        <w:rPr>
          <w:rFonts w:ascii="Times New Roman" w:hAnsi="Times New Roman"/>
          <w:sz w:val="22"/>
        </w:rPr>
        <w:t>515-21</w:t>
      </w:r>
      <w:r w:rsidRPr="00734A84">
        <w:rPr>
          <w:rFonts w:ascii="Times New Roman" w:hAnsi="Times New Roman"/>
          <w:sz w:val="22"/>
        </w:rPr>
        <w:tab/>
        <w:t>Empirical Issues with Hogg/Bushell’s argument: four points:</w:t>
      </w:r>
    </w:p>
    <w:p w:rsidR="002F3A7E" w:rsidRPr="00734A84" w:rsidRDefault="002F3A7E" w:rsidP="002F3A7E">
      <w:pPr>
        <w:pStyle w:val="ReadingNotes"/>
        <w:numPr>
          <w:ilvl w:val="0"/>
          <w:numId w:val="3"/>
        </w:numPr>
        <w:rPr>
          <w:rFonts w:ascii="Times New Roman" w:hAnsi="Times New Roman"/>
          <w:sz w:val="22"/>
        </w:rPr>
      </w:pPr>
      <w:r w:rsidRPr="00734A84">
        <w:rPr>
          <w:rFonts w:ascii="Times New Roman" w:hAnsi="Times New Roman"/>
          <w:sz w:val="22"/>
        </w:rPr>
        <w:t xml:space="preserve"> Can’t use judicial nullification as the sole indicator of judicial interference with the democratic will – nullification is becoming increasingly less important; must also consider other remedies such as “reading in”</w:t>
      </w:r>
    </w:p>
    <w:p w:rsidR="002F3A7E" w:rsidRPr="00734A84" w:rsidRDefault="002F3A7E" w:rsidP="002F3A7E">
      <w:pPr>
        <w:pStyle w:val="ReadingNotes"/>
        <w:numPr>
          <w:ilvl w:val="0"/>
          <w:numId w:val="3"/>
        </w:numPr>
        <w:rPr>
          <w:rFonts w:ascii="Times New Roman" w:hAnsi="Times New Roman"/>
          <w:sz w:val="22"/>
        </w:rPr>
      </w:pPr>
      <w:r w:rsidRPr="00734A84">
        <w:rPr>
          <w:rFonts w:ascii="Times New Roman" w:hAnsi="Times New Roman"/>
          <w:sz w:val="22"/>
        </w:rPr>
        <w:t xml:space="preserve"> Case selection: the study does not explain why the lower court cases were selected for “importance” and the sample is not representative; can’t draw conclusions from the data</w:t>
      </w:r>
    </w:p>
    <w:p w:rsidR="002F3A7E" w:rsidRPr="00734A84" w:rsidRDefault="002F3A7E" w:rsidP="002F3A7E">
      <w:pPr>
        <w:pStyle w:val="ReadingNotes"/>
        <w:numPr>
          <w:ilvl w:val="0"/>
          <w:numId w:val="3"/>
        </w:numPr>
        <w:rPr>
          <w:rFonts w:ascii="Times New Roman" w:hAnsi="Times New Roman"/>
          <w:sz w:val="22"/>
        </w:rPr>
      </w:pPr>
      <w:r w:rsidRPr="00734A84">
        <w:rPr>
          <w:rFonts w:ascii="Times New Roman" w:hAnsi="Times New Roman"/>
          <w:sz w:val="22"/>
        </w:rPr>
        <w:t xml:space="preserve"> Can’t treat SCC and lower court cases as equivalent; the question is whether dialogue becomes more one-sided as cases progress through the judicial hierarchy; furthermore, legislative sequels in areas like campaign spending and abortion have not fared well in the courts</w:t>
      </w:r>
    </w:p>
    <w:p w:rsidR="002F3A7E" w:rsidRPr="00734A84" w:rsidRDefault="002F3A7E" w:rsidP="002F3A7E">
      <w:pPr>
        <w:pStyle w:val="ReadingNotes"/>
        <w:numPr>
          <w:ilvl w:val="0"/>
          <w:numId w:val="3"/>
        </w:numPr>
        <w:rPr>
          <w:rFonts w:ascii="Times New Roman" w:hAnsi="Times New Roman"/>
          <w:sz w:val="22"/>
        </w:rPr>
      </w:pPr>
      <w:r w:rsidRPr="00734A84">
        <w:rPr>
          <w:rFonts w:ascii="Times New Roman" w:hAnsi="Times New Roman"/>
          <w:sz w:val="22"/>
        </w:rPr>
        <w:t xml:space="preserve"> Can’t say that one legislative sequel is a response to a number of cases: if we adjust the data, we get a significantly lower number than the percentage reported by them</w:t>
      </w:r>
    </w:p>
    <w:p w:rsidR="002F3A7E" w:rsidRPr="00734A84" w:rsidRDefault="002F3A7E" w:rsidP="002F3A7E">
      <w:pPr>
        <w:pStyle w:val="ReadingNotes"/>
        <w:ind w:left="860" w:firstLine="0"/>
        <w:rPr>
          <w:rFonts w:ascii="Times New Roman" w:hAnsi="Times New Roman"/>
          <w:sz w:val="22"/>
        </w:rPr>
      </w:pPr>
      <w:r w:rsidRPr="00734A84">
        <w:rPr>
          <w:rFonts w:ascii="Times New Roman" w:hAnsi="Times New Roman"/>
          <w:sz w:val="22"/>
        </w:rPr>
        <w:t>Furthermore, many of the legislative sequels could be characterized as simple compliance with the judicial decisions; if we reclassify judicial nullifications in terms of “positive” and “negative” dialogue, we find that there is in fact an institutional dialogue, but not one as extensive as they suggest</w:t>
      </w:r>
    </w:p>
    <w:p w:rsidR="002F3A7E" w:rsidRPr="00734A84" w:rsidRDefault="002F3A7E" w:rsidP="002F3A7E">
      <w:pPr>
        <w:pStyle w:val="ReadingNotes"/>
        <w:rPr>
          <w:rFonts w:ascii="Times New Roman" w:hAnsi="Times New Roman"/>
          <w:sz w:val="22"/>
        </w:rPr>
      </w:pPr>
      <w:r w:rsidRPr="00734A84">
        <w:rPr>
          <w:rFonts w:ascii="Times New Roman" w:hAnsi="Times New Roman"/>
          <w:sz w:val="22"/>
        </w:rPr>
        <w:t>522-24</w:t>
      </w:r>
      <w:r w:rsidRPr="00734A84">
        <w:rPr>
          <w:rFonts w:ascii="Times New Roman" w:hAnsi="Times New Roman"/>
          <w:sz w:val="22"/>
        </w:rPr>
        <w:tab/>
        <w:t xml:space="preserve">Normative </w:t>
      </w:r>
      <w:proofErr w:type="gramStart"/>
      <w:r w:rsidRPr="00734A84">
        <w:rPr>
          <w:rFonts w:ascii="Times New Roman" w:hAnsi="Times New Roman"/>
          <w:sz w:val="22"/>
        </w:rPr>
        <w:t>issues :</w:t>
      </w:r>
      <w:proofErr w:type="gramEnd"/>
      <w:r w:rsidRPr="00734A84">
        <w:rPr>
          <w:rFonts w:ascii="Times New Roman" w:hAnsi="Times New Roman"/>
          <w:sz w:val="22"/>
        </w:rPr>
        <w:t xml:space="preserve"> the question is what degree of judicial distortion of policy is acceptable; when a legislature must subordinate its understanding to that articulated by a court, this is policy distortion, not dialogue; furthermore, many legislative sequels occurred </w:t>
      </w:r>
      <w:r w:rsidRPr="00734A84">
        <w:rPr>
          <w:rFonts w:ascii="Times New Roman" w:hAnsi="Times New Roman"/>
          <w:i/>
          <w:sz w:val="22"/>
        </w:rPr>
        <w:t xml:space="preserve">before </w:t>
      </w:r>
      <w:r w:rsidRPr="00734A84">
        <w:rPr>
          <w:rFonts w:ascii="Times New Roman" w:hAnsi="Times New Roman"/>
          <w:sz w:val="22"/>
        </w:rPr>
        <w:t>a final court decision, which suggests that courts are at least as interested in asserting their supremacy as engaging in a dialogue</w:t>
      </w:r>
    </w:p>
    <w:p w:rsidR="002F3A7E" w:rsidRPr="00734A84" w:rsidRDefault="002F3A7E" w:rsidP="002F3A7E">
      <w:pPr>
        <w:pStyle w:val="ReadingNotes"/>
        <w:rPr>
          <w:rFonts w:ascii="Times New Roman" w:hAnsi="Times New Roman"/>
          <w:sz w:val="22"/>
        </w:rPr>
      </w:pPr>
      <w:r w:rsidRPr="00734A84">
        <w:rPr>
          <w:rFonts w:ascii="Times New Roman" w:hAnsi="Times New Roman"/>
          <w:sz w:val="22"/>
        </w:rPr>
        <w:tab/>
        <w:t>Most importantly, Hogg/Bushell assume that there is a judicial monopoly on correct interpretation; but you can’t say that the judiciary has such a monopoly</w:t>
      </w:r>
    </w:p>
    <w:p w:rsidR="0081648C" w:rsidRPr="002F3A7E" w:rsidRDefault="002F3A7E" w:rsidP="002F3A7E">
      <w:pPr>
        <w:pStyle w:val="ReadingNotes"/>
        <w:rPr>
          <w:rFonts w:ascii="Times New Roman" w:hAnsi="Times New Roman"/>
          <w:sz w:val="22"/>
        </w:rPr>
      </w:pPr>
      <w:r w:rsidRPr="00734A84">
        <w:rPr>
          <w:rFonts w:ascii="Times New Roman" w:hAnsi="Times New Roman"/>
          <w:sz w:val="22"/>
        </w:rPr>
        <w:t>524-25</w:t>
      </w:r>
      <w:r w:rsidRPr="00734A84">
        <w:rPr>
          <w:rFonts w:ascii="Times New Roman" w:hAnsi="Times New Roman"/>
          <w:sz w:val="22"/>
        </w:rPr>
        <w:tab/>
        <w:t xml:space="preserve">The dialogue metaphor (which influenced Frank Iacobuci in his decision on </w:t>
      </w:r>
      <w:r w:rsidRPr="00734A84">
        <w:rPr>
          <w:rFonts w:ascii="Times New Roman" w:hAnsi="Times New Roman"/>
          <w:i/>
          <w:sz w:val="22"/>
        </w:rPr>
        <w:t>Vriend</w:t>
      </w:r>
      <w:r w:rsidRPr="00734A84">
        <w:rPr>
          <w:rFonts w:ascii="Times New Roman" w:hAnsi="Times New Roman"/>
          <w:sz w:val="22"/>
        </w:rPr>
        <w:t>) largely comes from the Hogg and Bushell article; it’s important to critically examine it; in fact, the Charter dialogue is far more complex and less extensive than Hogg and Bushell report</w:t>
      </w:r>
    </w:p>
    <w:sectPr w:rsidR="0081648C" w:rsidRPr="002F3A7E"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035385"/>
    <w:multiLevelType w:val="hybridMultilevel"/>
    <w:tmpl w:val="B8A633F6"/>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1">
    <w:nsid w:val="4B247746"/>
    <w:multiLevelType w:val="hybridMultilevel"/>
    <w:tmpl w:val="02C21D60"/>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2">
    <w:nsid w:val="7BAD73AD"/>
    <w:multiLevelType w:val="hybridMultilevel"/>
    <w:tmpl w:val="2B269E9E"/>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F3A7E"/>
    <w:rsid w:val="002F3A7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A7E"/>
    <w:pPr>
      <w:spacing w:after="0"/>
    </w:pPr>
    <w:rPr>
      <w:rFonts w:ascii="Times" w:eastAsia="Cambria" w:hAnsi="Times" w:cs="Times New Roman"/>
    </w:rPr>
  </w:style>
  <w:style w:type="paragraph" w:styleId="Heading1">
    <w:name w:val="heading 1"/>
    <w:basedOn w:val="Normal"/>
    <w:next w:val="Normal"/>
    <w:link w:val="Heading1Char"/>
    <w:rsid w:val="002F3A7E"/>
    <w:pPr>
      <w:keepNext/>
      <w:outlineLvl w:val="0"/>
    </w:pPr>
    <w:rPr>
      <w:rFonts w:ascii="Arial" w:eastAsia="Times New Roman" w:hAnsi="Arial"/>
      <w:b/>
      <w:bCs/>
      <w:kern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2F3A7E"/>
    <w:rPr>
      <w:rFonts w:ascii="Arial" w:eastAsia="Times New Roman" w:hAnsi="Arial" w:cs="Times New Roman"/>
      <w:b/>
      <w:bCs/>
      <w:kern w:val="32"/>
      <w:szCs w:val="32"/>
    </w:rPr>
  </w:style>
  <w:style w:type="paragraph" w:customStyle="1" w:styleId="ReadingNotes">
    <w:name w:val="Reading Notes"/>
    <w:basedOn w:val="Normal"/>
    <w:qFormat/>
    <w:rsid w:val="002F3A7E"/>
    <w:pPr>
      <w:spacing w:after="120"/>
      <w:ind w:left="864" w:hanging="864"/>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1391</Words>
  <Characters>7930</Characters>
  <Application>Microsoft Macintosh Word</Application>
  <DocSecurity>0</DocSecurity>
  <Lines>66</Lines>
  <Paragraphs>15</Paragraphs>
  <ScaleCrop>false</ScaleCrop>
  <LinksUpToDate>false</LinksUpToDate>
  <CharactersWithSpaces>9738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2012-05-01T13:41:00Z</dcterms:created>
  <dcterms:modified xsi:type="dcterms:W3CDTF">2012-05-01T13:41:00Z</dcterms:modified>
</cp:coreProperties>
</file>